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33" w:name="cosigo-ledger-publication-sop"/>
    <w:p>
      <w:pPr>
        <w:pStyle w:val="Heading1"/>
      </w:pPr>
      <w:r>
        <w:t xml:space="preserve">Cosigo Ledger Publication SOP</w:t>
      </w:r>
    </w:p>
    <w:bookmarkStart w:id="20" w:name="Xe4d81f69c37163c10fc69a355f190682dbd487b"/>
    <w:p>
      <w:pPr>
        <w:pStyle w:val="Heading2"/>
      </w:pPr>
      <w:r>
        <w:t xml:space="preserve">Timestamped Existence • No Approval Implied • History Preserved</w:t>
      </w:r>
    </w:p>
    <w:p>
      <w:pPr>
        <w:pStyle w:val="FirstParagraph"/>
      </w:pPr>
      <w:r>
        <w:t xml:space="preserve">This document defines the</w:t>
      </w:r>
      <w:r>
        <w:t xml:space="preserve"> </w:t>
      </w:r>
      <w:r>
        <w:rPr>
          <w:b/>
          <w:bCs/>
        </w:rPr>
        <w:t xml:space="preserve">standard operating procedure (SOP)</w:t>
      </w:r>
      <w:r>
        <w:t xml:space="preserve"> </w:t>
      </w:r>
      <w:r>
        <w:t xml:space="preserve">for publishing affidavits, evidence hashes, and amendments to the Cosigo affidavit ledger. Its purpose is to establish</w:t>
      </w:r>
      <w:r>
        <w:t xml:space="preserve"> </w:t>
      </w:r>
      <w:r>
        <w:rPr>
          <w:b/>
          <w:bCs/>
        </w:rPr>
        <w:t xml:space="preserve">existence and chronology</w:t>
      </w:r>
      <w:r>
        <w:t xml:space="preserve">, not validation, endorsement, or approval.</w:t>
      </w:r>
    </w:p>
    <w:p>
      <w:r>
        <w:pict>
          <v:rect style="width:0;height:1.5pt" o:hralign="center" o:hrstd="t" o:hr="t"/>
        </w:pict>
      </w:r>
    </w:p>
    <w:bookmarkEnd w:id="20"/>
    <w:bookmarkStart w:id="21" w:name="purpose-of-ledger-publication"/>
    <w:p>
      <w:pPr>
        <w:pStyle w:val="Heading2"/>
      </w:pPr>
      <w:r>
        <w:t xml:space="preserve">1. Purpose of Ledger Publication</w:t>
      </w:r>
    </w:p>
    <w:p>
      <w:pPr>
        <w:pStyle w:val="FirstParagraph"/>
      </w:pPr>
      <w:r>
        <w:t xml:space="preserve">Ledger publication serves three functions only: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Timestamped existence</w:t>
      </w:r>
      <w:r>
        <w:t xml:space="preserve"> </w:t>
      </w:r>
      <w:r>
        <w:t xml:space="preserve">— to prove that a document or evidence artifact existed at or before a specific time.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Non-approval disclosure</w:t>
      </w:r>
      <w:r>
        <w:t xml:space="preserve"> </w:t>
      </w:r>
      <w:r>
        <w:t xml:space="preserve">— to make clear that publication does not imply review, endorsement, legality, accuracy, or compliance.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Historical preservation</w:t>
      </w:r>
      <w:r>
        <w:t xml:space="preserve"> </w:t>
      </w:r>
      <w:r>
        <w:t xml:space="preserve">— to ensure records remain discoverable and verifiable even if parties, platforms, or jurisdictions change.</w:t>
      </w:r>
    </w:p>
    <w:p>
      <w:pPr>
        <w:pStyle w:val="FirstParagraph"/>
      </w:pPr>
      <w:r>
        <w:t xml:space="preserve">The ledger is not a registry of truth. It is a registry of</w:t>
      </w:r>
      <w:r>
        <w:t xml:space="preserve"> </w:t>
      </w:r>
      <w:r>
        <w:rPr>
          <w:b/>
          <w:bCs/>
        </w:rPr>
        <w:t xml:space="preserve">claims and evidence references</w:t>
      </w:r>
      <w:r>
        <w:t xml:space="preserve">.</w:t>
      </w:r>
    </w:p>
    <w:p>
      <w:r>
        <w:pict>
          <v:rect style="width:0;height:1.5pt" o:hralign="center" o:hrstd="t" o:hr="t"/>
        </w:pict>
      </w:r>
    </w:p>
    <w:bookmarkEnd w:id="21"/>
    <w:bookmarkStart w:id="22" w:name="what-gets-published"/>
    <w:p>
      <w:pPr>
        <w:pStyle w:val="Heading2"/>
      </w:pPr>
      <w:r>
        <w:t xml:space="preserve">2. What Gets Published</w:t>
      </w:r>
    </w:p>
    <w:p>
      <w:pPr>
        <w:pStyle w:val="FirstParagraph"/>
      </w:pPr>
      <w:r>
        <w:t xml:space="preserve">The following items may be published to the ledger:</w:t>
      </w:r>
    </w:p>
    <w:p>
      <w:pPr>
        <w:pStyle w:val="Compact"/>
        <w:numPr>
          <w:ilvl w:val="0"/>
          <w:numId w:val="1002"/>
        </w:numPr>
      </w:pPr>
      <w:r>
        <w:t xml:space="preserve">SHA-256 hash of a signed affidavit (custodian or participant)</w:t>
      </w:r>
    </w:p>
    <w:p>
      <w:pPr>
        <w:pStyle w:val="Compact"/>
        <w:numPr>
          <w:ilvl w:val="0"/>
          <w:numId w:val="1002"/>
        </w:numPr>
      </w:pPr>
      <w:r>
        <w:t xml:space="preserve">SHA-256 hash of evidence files (video, documents, photographs)</w:t>
      </w:r>
    </w:p>
    <w:p>
      <w:pPr>
        <w:pStyle w:val="Compact"/>
        <w:numPr>
          <w:ilvl w:val="0"/>
          <w:numId w:val="1002"/>
        </w:numPr>
      </w:pPr>
      <w:r>
        <w:t xml:space="preserve">Hashes of amendments, reaffirmations, or closeout affidavits</w:t>
      </w:r>
    </w:p>
    <w:p>
      <w:pPr>
        <w:pStyle w:val="Compact"/>
        <w:numPr>
          <w:ilvl w:val="0"/>
          <w:numId w:val="1002"/>
        </w:numPr>
      </w:pPr>
      <w:r>
        <w:t xml:space="preserve">Minimal metadata necessary to interpret the hash</w:t>
      </w:r>
    </w:p>
    <w:p>
      <w:pPr>
        <w:pStyle w:val="FirstParagraph"/>
      </w:pPr>
      <w:r>
        <w:rPr>
          <w:b/>
          <w:bCs/>
        </w:rPr>
        <w:t xml:space="preserve">No raw personal data is required.</w:t>
      </w:r>
      <w:r>
        <w:t xml:space="preserve"> </w:t>
      </w:r>
      <w:r>
        <w:t xml:space="preserve">Publication favors hashes over content.</w:t>
      </w:r>
    </w:p>
    <w:p>
      <w:r>
        <w:pict>
          <v:rect style="width:0;height:1.5pt" o:hralign="center" o:hrstd="t" o:hr="t"/>
        </w:pict>
      </w:r>
    </w:p>
    <w:bookmarkEnd w:id="22"/>
    <w:bookmarkStart w:id="23" w:name="what-publication-does-not-mean"/>
    <w:p>
      <w:pPr>
        <w:pStyle w:val="Heading2"/>
      </w:pPr>
      <w:r>
        <w:t xml:space="preserve">3. What Publication Does</w:t>
      </w:r>
      <w:r>
        <w:t xml:space="preserve"> </w:t>
      </w:r>
      <w:r>
        <w:rPr>
          <w:i/>
          <w:iCs/>
        </w:rPr>
        <w:t xml:space="preserve">Not</w:t>
      </w:r>
      <w:r>
        <w:t xml:space="preserve"> </w:t>
      </w:r>
      <w:r>
        <w:t xml:space="preserve">Mean</w:t>
      </w:r>
    </w:p>
    <w:p>
      <w:pPr>
        <w:pStyle w:val="FirstParagraph"/>
      </w:pPr>
      <w:r>
        <w:t xml:space="preserve">Ledger publication does</w:t>
      </w:r>
      <w:r>
        <w:t xml:space="preserve"> </w:t>
      </w:r>
      <w:r>
        <w:rPr>
          <w:b/>
          <w:bCs/>
        </w:rPr>
        <w:t xml:space="preserve">not</w:t>
      </w:r>
      <w:r>
        <w:t xml:space="preserve"> </w:t>
      </w:r>
      <w:r>
        <w:t xml:space="preserve">mean:</w:t>
      </w:r>
    </w:p>
    <w:p>
      <w:pPr>
        <w:pStyle w:val="Compact"/>
        <w:numPr>
          <w:ilvl w:val="0"/>
          <w:numId w:val="1003"/>
        </w:numPr>
      </w:pPr>
      <w:r>
        <w:t xml:space="preserve">approval by Cosigo or any satellite</w:t>
      </w:r>
    </w:p>
    <w:p>
      <w:pPr>
        <w:pStyle w:val="Compact"/>
        <w:numPr>
          <w:ilvl w:val="0"/>
          <w:numId w:val="1003"/>
        </w:numPr>
      </w:pPr>
      <w:r>
        <w:t xml:space="preserve">validation of accuracy or truth</w:t>
      </w:r>
    </w:p>
    <w:p>
      <w:pPr>
        <w:pStyle w:val="Compact"/>
        <w:numPr>
          <w:ilvl w:val="0"/>
          <w:numId w:val="1003"/>
        </w:numPr>
      </w:pPr>
      <w:r>
        <w:t xml:space="preserve">confirmation of solvency, reserves, or compliance</w:t>
      </w:r>
    </w:p>
    <w:p>
      <w:pPr>
        <w:pStyle w:val="Compact"/>
        <w:numPr>
          <w:ilvl w:val="0"/>
          <w:numId w:val="1003"/>
        </w:numPr>
      </w:pPr>
      <w:r>
        <w:t xml:space="preserve">recognition under any legal or regulatory regime</w:t>
      </w:r>
    </w:p>
    <w:p>
      <w:pPr>
        <w:pStyle w:val="Compact"/>
        <w:numPr>
          <w:ilvl w:val="0"/>
          <w:numId w:val="1003"/>
        </w:numPr>
      </w:pPr>
      <w:r>
        <w:t xml:space="preserve">acceptance of liability by Cosigo or other custodians</w:t>
      </w:r>
    </w:p>
    <w:p>
      <w:pPr>
        <w:pStyle w:val="FirstParagraph"/>
      </w:pPr>
      <w:r>
        <w:t xml:space="preserve">Publication is a</w:t>
      </w:r>
      <w:r>
        <w:t xml:space="preserve"> </w:t>
      </w:r>
      <w:r>
        <w:rPr>
          <w:b/>
          <w:bCs/>
        </w:rPr>
        <w:t xml:space="preserve">mechanical act</w:t>
      </w:r>
      <w:r>
        <w:t xml:space="preserve">, not an evaluative one.</w:t>
      </w:r>
    </w:p>
    <w:p>
      <w:r>
        <w:pict>
          <v:rect style="width:0;height:1.5pt" o:hralign="center" o:hrstd="t" o:hr="t"/>
        </w:pict>
      </w:r>
    </w:p>
    <w:bookmarkEnd w:id="23"/>
    <w:bookmarkStart w:id="27" w:name="publication-procedure"/>
    <w:p>
      <w:pPr>
        <w:pStyle w:val="Heading2"/>
      </w:pPr>
      <w:r>
        <w:t xml:space="preserve">4. Publication Procedure</w:t>
      </w:r>
    </w:p>
    <w:bookmarkStart w:id="24" w:name="step-1-prepare-the-record"/>
    <w:p>
      <w:pPr>
        <w:pStyle w:val="Heading3"/>
      </w:pPr>
      <w:r>
        <w:t xml:space="preserve">Step 1 — Prepare the Record</w:t>
      </w:r>
    </w:p>
    <w:p>
      <w:pPr>
        <w:pStyle w:val="Compact"/>
        <w:numPr>
          <w:ilvl w:val="0"/>
          <w:numId w:val="1004"/>
        </w:numPr>
      </w:pPr>
      <w:r>
        <w:t xml:space="preserve">Finalize and sign the affidavit</w:t>
      </w:r>
    </w:p>
    <w:p>
      <w:pPr>
        <w:pStyle w:val="Compact"/>
        <w:numPr>
          <w:ilvl w:val="0"/>
          <w:numId w:val="1004"/>
        </w:numPr>
      </w:pPr>
      <w:r>
        <w:t xml:space="preserve">Complete witness attestations (and notary, if applicable)</w:t>
      </w:r>
    </w:p>
    <w:p>
      <w:pPr>
        <w:pStyle w:val="Compact"/>
        <w:numPr>
          <w:ilvl w:val="0"/>
          <w:numId w:val="1004"/>
        </w:numPr>
      </w:pPr>
      <w:r>
        <w:t xml:space="preserve">Generate SHA-256 hashes for:</w:t>
      </w:r>
    </w:p>
    <w:p>
      <w:pPr>
        <w:pStyle w:val="Compact"/>
        <w:numPr>
          <w:ilvl w:val="1"/>
          <w:numId w:val="1005"/>
        </w:numPr>
      </w:pPr>
      <w:r>
        <w:t xml:space="preserve">the signed affidavit file</w:t>
      </w:r>
    </w:p>
    <w:p>
      <w:pPr>
        <w:pStyle w:val="Compact"/>
        <w:numPr>
          <w:ilvl w:val="1"/>
          <w:numId w:val="1005"/>
        </w:numPr>
      </w:pPr>
      <w:r>
        <w:t xml:space="preserve">the evidence file(s)</w:t>
      </w:r>
    </w:p>
    <w:bookmarkEnd w:id="24"/>
    <w:bookmarkStart w:id="25" w:name="step-2-create-ledger-entry"/>
    <w:p>
      <w:pPr>
        <w:pStyle w:val="Heading3"/>
      </w:pPr>
      <w:r>
        <w:t xml:space="preserve">Step 2 — Create Ledger Entry</w:t>
      </w:r>
    </w:p>
    <w:p>
      <w:pPr>
        <w:pStyle w:val="FirstParagraph"/>
      </w:pPr>
      <w:r>
        <w:t xml:space="preserve">Each ledger entry should include:</w:t>
      </w:r>
    </w:p>
    <w:p>
      <w:pPr>
        <w:pStyle w:val="Compact"/>
        <w:numPr>
          <w:ilvl w:val="0"/>
          <w:numId w:val="1006"/>
        </w:numPr>
      </w:pPr>
      <w:r>
        <w:t xml:space="preserve">hash value (SHA-256)</w:t>
      </w:r>
    </w:p>
    <w:p>
      <w:pPr>
        <w:pStyle w:val="Compact"/>
        <w:numPr>
          <w:ilvl w:val="0"/>
          <w:numId w:val="1006"/>
        </w:numPr>
      </w:pPr>
      <w:r>
        <w:t xml:space="preserve">document type (e.g., Sovereign Custodian Affidavit)</w:t>
      </w:r>
    </w:p>
    <w:p>
      <w:pPr>
        <w:pStyle w:val="Compact"/>
        <w:numPr>
          <w:ilvl w:val="0"/>
          <w:numId w:val="1006"/>
        </w:numPr>
      </w:pPr>
      <w:r>
        <w:t xml:space="preserve">satellite identifier (if applicable)</w:t>
      </w:r>
    </w:p>
    <w:p>
      <w:pPr>
        <w:pStyle w:val="Compact"/>
        <w:numPr>
          <w:ilvl w:val="0"/>
          <w:numId w:val="1006"/>
        </w:numPr>
      </w:pPr>
      <w:r>
        <w:t xml:space="preserve">date of execution</w:t>
      </w:r>
    </w:p>
    <w:p>
      <w:pPr>
        <w:pStyle w:val="Compact"/>
        <w:numPr>
          <w:ilvl w:val="0"/>
          <w:numId w:val="1006"/>
        </w:numPr>
      </w:pPr>
      <w:r>
        <w:t xml:space="preserve">optional reference ID</w:t>
      </w:r>
    </w:p>
    <w:p>
      <w:pPr>
        <w:pStyle w:val="FirstParagraph"/>
      </w:pPr>
      <w:r>
        <w:t xml:space="preserve">No interpretation or commentary is added.</w:t>
      </w:r>
    </w:p>
    <w:bookmarkEnd w:id="25"/>
    <w:bookmarkStart w:id="26" w:name="step-3-publish"/>
    <w:p>
      <w:pPr>
        <w:pStyle w:val="Heading3"/>
      </w:pPr>
      <w:r>
        <w:t xml:space="preserve">Step 3 — Publish</w:t>
      </w:r>
    </w:p>
    <w:p>
      <w:pPr>
        <w:pStyle w:val="Compact"/>
        <w:numPr>
          <w:ilvl w:val="0"/>
          <w:numId w:val="1007"/>
        </w:numPr>
      </w:pPr>
      <w:r>
        <w:t xml:space="preserve">Post the entry to the Cosigo affidavit ledger</w:t>
      </w:r>
    </w:p>
    <w:p>
      <w:pPr>
        <w:pStyle w:val="Compact"/>
        <w:numPr>
          <w:ilvl w:val="0"/>
          <w:numId w:val="1007"/>
        </w:numPr>
      </w:pPr>
      <w:r>
        <w:t xml:space="preserve">If multiple ledgers are used (e.g., blockchain + archive), record all locations</w:t>
      </w:r>
    </w:p>
    <w:p>
      <w:pPr>
        <w:pStyle w:val="FirstParagraph"/>
      </w:pPr>
      <w:r>
        <w:t xml:space="preserve">Publication time is the authoritative timestamp.</w:t>
      </w:r>
    </w:p>
    <w:p>
      <w:r>
        <w:pict>
          <v:rect style="width:0;height:1.5pt" o:hralign="center" o:hrstd="t" o:hr="t"/>
        </w:pict>
      </w:r>
    </w:p>
    <w:bookmarkEnd w:id="26"/>
    <w:bookmarkEnd w:id="27"/>
    <w:bookmarkStart w:id="28" w:name="amendments-and-versioning"/>
    <w:p>
      <w:pPr>
        <w:pStyle w:val="Heading2"/>
      </w:pPr>
      <w:r>
        <w:t xml:space="preserve">5. Amendments and Versioning</w:t>
      </w:r>
    </w:p>
    <w:p>
      <w:pPr>
        <w:pStyle w:val="Compact"/>
        <w:numPr>
          <w:ilvl w:val="0"/>
          <w:numId w:val="1008"/>
        </w:numPr>
      </w:pPr>
      <w:r>
        <w:t xml:space="preserve">Amendments do not overwrite prior entries</w:t>
      </w:r>
    </w:p>
    <w:p>
      <w:pPr>
        <w:pStyle w:val="Compact"/>
        <w:numPr>
          <w:ilvl w:val="0"/>
          <w:numId w:val="1008"/>
        </w:numPr>
      </w:pPr>
      <w:r>
        <w:t xml:space="preserve">Each amendment receives a new hash and ledger entry</w:t>
      </w:r>
    </w:p>
    <w:p>
      <w:pPr>
        <w:pStyle w:val="Compact"/>
        <w:numPr>
          <w:ilvl w:val="0"/>
          <w:numId w:val="1008"/>
        </w:numPr>
      </w:pPr>
      <w:r>
        <w:t xml:space="preserve">Earlier entries remain visible and intact</w:t>
      </w:r>
    </w:p>
    <w:p>
      <w:pPr>
        <w:pStyle w:val="FirstParagraph"/>
      </w:pPr>
      <w:r>
        <w:t xml:space="preserve">History is additive, not mutable.</w:t>
      </w:r>
    </w:p>
    <w:p>
      <w:r>
        <w:pict>
          <v:rect style="width:0;height:1.5pt" o:hralign="center" o:hrstd="t" o:hr="t"/>
        </w:pict>
      </w:r>
    </w:p>
    <w:bookmarkEnd w:id="28"/>
    <w:bookmarkStart w:id="29" w:name="error-handling"/>
    <w:p>
      <w:pPr>
        <w:pStyle w:val="Heading2"/>
      </w:pPr>
      <w:r>
        <w:t xml:space="preserve">6. Error Handling</w:t>
      </w:r>
    </w:p>
    <w:p>
      <w:pPr>
        <w:pStyle w:val="FirstParagraph"/>
      </w:pPr>
      <w:r>
        <w:t xml:space="preserve">If an incorrect hash or metadata error is published:</w:t>
      </w:r>
    </w:p>
    <w:p>
      <w:pPr>
        <w:pStyle w:val="Compact"/>
        <w:numPr>
          <w:ilvl w:val="0"/>
          <w:numId w:val="1009"/>
        </w:numPr>
      </w:pPr>
      <w:r>
        <w:t xml:space="preserve">do not delete the entry</w:t>
      </w:r>
    </w:p>
    <w:p>
      <w:pPr>
        <w:pStyle w:val="Compact"/>
        <w:numPr>
          <w:ilvl w:val="0"/>
          <w:numId w:val="1009"/>
        </w:numPr>
      </w:pPr>
      <w:r>
        <w:t xml:space="preserve">publish a corrective entry referencing the original</w:t>
      </w:r>
    </w:p>
    <w:p>
      <w:pPr>
        <w:pStyle w:val="FirstParagraph"/>
      </w:pPr>
      <w:r>
        <w:t xml:space="preserve">This preserves continuity and prevents silent revision.</w:t>
      </w:r>
    </w:p>
    <w:p>
      <w:r>
        <w:pict>
          <v:rect style="width:0;height:1.5pt" o:hralign="center" o:hrstd="t" o:hr="t"/>
        </w:pict>
      </w:r>
    </w:p>
    <w:bookmarkEnd w:id="29"/>
    <w:bookmarkStart w:id="30" w:name="access-and-availability"/>
    <w:p>
      <w:pPr>
        <w:pStyle w:val="Heading2"/>
      </w:pPr>
      <w:r>
        <w:t xml:space="preserve">7. Access and Availability</w:t>
      </w:r>
    </w:p>
    <w:p>
      <w:pPr>
        <w:pStyle w:val="FirstParagraph"/>
      </w:pPr>
      <w:r>
        <w:t xml:space="preserve">The ledger should be:</w:t>
      </w:r>
    </w:p>
    <w:p>
      <w:pPr>
        <w:pStyle w:val="Compact"/>
        <w:numPr>
          <w:ilvl w:val="0"/>
          <w:numId w:val="1010"/>
        </w:numPr>
      </w:pPr>
      <w:r>
        <w:t xml:space="preserve">publicly readable where possible</w:t>
      </w:r>
    </w:p>
    <w:p>
      <w:pPr>
        <w:pStyle w:val="Compact"/>
        <w:numPr>
          <w:ilvl w:val="0"/>
          <w:numId w:val="1010"/>
        </w:numPr>
      </w:pPr>
      <w:r>
        <w:t xml:space="preserve">redundantly archived</w:t>
      </w:r>
    </w:p>
    <w:p>
      <w:pPr>
        <w:pStyle w:val="Compact"/>
        <w:numPr>
          <w:ilvl w:val="0"/>
          <w:numId w:val="1010"/>
        </w:numPr>
      </w:pPr>
      <w:r>
        <w:t xml:space="preserve">resistant to silent deletion</w:t>
      </w:r>
    </w:p>
    <w:p>
      <w:pPr>
        <w:pStyle w:val="FirstParagraph"/>
      </w:pPr>
      <w:r>
        <w:t xml:space="preserve">Availability strengthens evidence but is not required for validity. Hashes remain verifiable independently.</w:t>
      </w:r>
    </w:p>
    <w:p>
      <w:r>
        <w:pict>
          <v:rect style="width:0;height:1.5pt" o:hralign="center" o:hrstd="t" o:hr="t"/>
        </w:pict>
      </w:r>
    </w:p>
    <w:bookmarkEnd w:id="30"/>
    <w:bookmarkStart w:id="31" w:name="standard-disclaimer-ledger-page"/>
    <w:p>
      <w:pPr>
        <w:pStyle w:val="Heading2"/>
      </w:pPr>
      <w:r>
        <w:t xml:space="preserve">8. Standard Disclaimer (Ledger Page)</w:t>
      </w:r>
    </w:p>
    <w:p>
      <w:pPr>
        <w:pStyle w:val="BlockText"/>
      </w:pPr>
      <w:r>
        <w:t xml:space="preserve">Entries in this ledger establish timestamped existence only. Publication does not imply approval, verification, endorsement, legality, or accuracy. All risks remain with the declarant and participants.</w:t>
      </w:r>
    </w:p>
    <w:p>
      <w:r>
        <w:pict>
          <v:rect style="width:0;height:1.5pt" o:hralign="center" o:hrstd="t" o:hr="t"/>
        </w:pict>
      </w:r>
    </w:p>
    <w:bookmarkEnd w:id="31"/>
    <w:bookmarkStart w:id="32" w:name="closing-principle"/>
    <w:p>
      <w:pPr>
        <w:pStyle w:val="Heading2"/>
      </w:pPr>
      <w:r>
        <w:t xml:space="preserve">9. Closing Principle</w:t>
      </w:r>
    </w:p>
    <w:p>
      <w:pPr>
        <w:pStyle w:val="FirstParagraph"/>
      </w:pPr>
      <w:r>
        <w:t xml:space="preserve">The ledger exists to outlast institutions, narratives, and disputes.</w:t>
      </w:r>
    </w:p>
    <w:p>
      <w:pPr>
        <w:pStyle w:val="BodyText"/>
      </w:pPr>
      <w:r>
        <w:t xml:space="preserve">It does not decide what is true.</w:t>
      </w:r>
      <w:r>
        <w:t xml:space="preserve"> </w:t>
      </w:r>
      <w:r>
        <w:t xml:space="preserve">It preserves what was said, when it was said, and what evidence was referenced.</w:t>
      </w:r>
    </w:p>
    <w:p>
      <w:pPr>
        <w:pStyle w:val="BodyText"/>
      </w:pPr>
      <w:r>
        <w:t xml:space="preserve">That is sufficient.</w:t>
      </w:r>
    </w:p>
    <w:bookmarkEnd w:id="32"/>
    <w:bookmarkEnd w:id="33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2026-01-14T02:05:41Z</dcterms:created>
  <dcterms:modified xsi:type="dcterms:W3CDTF">2026-01-14T02:05:41Z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